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盈江县第一高级中学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盈江县第一高级中学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盈江县第一高级中学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both"/>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盈江县第一高级中学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盈江县第一高级中学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42</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盈江县第一高级中学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（二）机构设置情况</w:t>
      </w:r>
    </w:p>
    <w:p>
      <w:pPr>
        <w:pStyle w:val="12"/>
        <w:keepNext w:val="0"/>
        <w:keepLines w:val="0"/>
        <w:pageBreakBefore w:val="0"/>
        <w:widowControl/>
        <w:numPr>
          <w:ilvl w:val="0"/>
          <w:numId w:val="0"/>
        </w:numPr>
        <w:kinsoku/>
        <w:wordWrap/>
        <w:overflowPunct/>
        <w:topLinePunct w:val="0"/>
        <w:autoSpaceDE/>
        <w:autoSpaceDN/>
        <w:bidi w:val="0"/>
        <w:adjustRightInd/>
        <w:snapToGrid/>
        <w:spacing w:line="480" w:lineRule="auto"/>
        <w:ind w:left="0" w:leftChars="0" w:right="0" w:rightChars="0" w:firstLine="600" w:firstLineChars="200"/>
        <w:textAlignment w:val="auto"/>
        <w:outlineLvl w:val="9"/>
        <w:rPr>
          <w:rFonts w:hint="eastAsia" w:ascii="仿宋_GB2312" w:hAnsi="仿宋_GB2312" w:eastAsia="仿宋_GB2312" w:cs="仿宋_GB2312"/>
          <w:color w:val="333333"/>
          <w:sz w:val="30"/>
          <w:szCs w:val="30"/>
          <w:lang w:val="en-US" w:eastAsia="zh-CN"/>
        </w:rPr>
      </w:pPr>
      <w:r>
        <w:rPr>
          <w:rFonts w:hint="eastAsia" w:ascii="仿宋_GB2312" w:hAnsi="仿宋_GB2312" w:eastAsia="仿宋_GB2312" w:cs="仿宋_GB2312"/>
          <w:color w:val="333333"/>
          <w:sz w:val="30"/>
          <w:szCs w:val="30"/>
          <w:lang w:val="en-US" w:eastAsia="zh-CN"/>
        </w:rPr>
        <w:t>盈江县第一高级中学设置6个科室：办公室、教务处、政教处、招就处、总务处、财务室。</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widowControl w:val="0"/>
        <w:kinsoku/>
        <w:wordWrap/>
        <w:overflowPunct/>
        <w:topLinePunct w:val="0"/>
        <w:autoSpaceDE/>
        <w:autoSpaceDN/>
        <w:bidi w:val="0"/>
        <w:adjustRightInd/>
        <w:snapToGrid/>
        <w:spacing w:line="312" w:lineRule="auto"/>
        <w:ind w:firstLine="600" w:firstLineChars="200"/>
        <w:textAlignment w:val="auto"/>
        <w:outlineLvl w:val="9"/>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我校2019年重点做好以下几个方面的工作：</w:t>
      </w:r>
    </w:p>
    <w:p>
      <w:pPr>
        <w:keepNext w:val="0"/>
        <w:keepLines w:val="0"/>
        <w:pageBreakBefore w:val="0"/>
        <w:widowControl w:val="0"/>
        <w:kinsoku/>
        <w:wordWrap/>
        <w:overflowPunct/>
        <w:topLinePunct w:val="0"/>
        <w:autoSpaceDE/>
        <w:autoSpaceDN/>
        <w:bidi w:val="0"/>
        <w:adjustRightInd/>
        <w:snapToGrid/>
        <w:spacing w:line="312" w:lineRule="auto"/>
        <w:ind w:firstLine="600" w:firstLineChars="200"/>
        <w:textAlignment w:val="auto"/>
        <w:outlineLvl w:val="9"/>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color w:val="333333"/>
          <w:sz w:val="30"/>
          <w:szCs w:val="30"/>
        </w:rPr>
        <w:t>1、</w:t>
      </w:r>
      <w:r>
        <w:rPr>
          <w:rFonts w:hint="eastAsia" w:ascii="仿宋_GB2312" w:hAnsi="仿宋_GB2312" w:eastAsia="仿宋_GB2312" w:cs="仿宋_GB2312"/>
          <w:b w:val="0"/>
          <w:bCs w:val="0"/>
          <w:sz w:val="30"/>
          <w:szCs w:val="30"/>
          <w:lang w:val="en-US" w:eastAsia="zh-CN"/>
        </w:rPr>
        <w:t>完善设施、优化队伍，实现办学条件标准化；</w:t>
      </w:r>
    </w:p>
    <w:p>
      <w:pPr>
        <w:keepNext w:val="0"/>
        <w:keepLines w:val="0"/>
        <w:pageBreakBefore w:val="0"/>
        <w:widowControl/>
        <w:kinsoku/>
        <w:wordWrap/>
        <w:overflowPunct/>
        <w:topLinePunct w:val="0"/>
        <w:autoSpaceDE/>
        <w:autoSpaceDN/>
        <w:bidi w:val="0"/>
        <w:adjustRightInd/>
        <w:snapToGrid/>
        <w:ind w:left="0" w:leftChars="0" w:right="0" w:rightChars="0" w:firstLine="600" w:firstLineChars="200"/>
        <w:jc w:val="left"/>
        <w:textAlignment w:val="auto"/>
        <w:outlineLvl w:val="9"/>
        <w:rPr>
          <w:rFonts w:hint="eastAsia" w:ascii="仿宋_GB2312" w:hAnsi="仿宋_GB2312" w:eastAsia="仿宋_GB2312" w:cs="仿宋_GB2312"/>
          <w:b w:val="0"/>
          <w:bCs w:val="0"/>
          <w:color w:val="333333"/>
          <w:sz w:val="30"/>
          <w:szCs w:val="30"/>
        </w:rPr>
      </w:pPr>
      <w:r>
        <w:rPr>
          <w:rFonts w:hint="eastAsia" w:ascii="仿宋_GB2312" w:hAnsi="仿宋_GB2312" w:eastAsia="仿宋_GB2312" w:cs="仿宋_GB2312"/>
          <w:b w:val="0"/>
          <w:bCs w:val="0"/>
          <w:color w:val="333333"/>
          <w:sz w:val="30"/>
          <w:szCs w:val="30"/>
        </w:rPr>
        <w:t>2、</w:t>
      </w:r>
      <w:r>
        <w:rPr>
          <w:rFonts w:hint="eastAsia" w:ascii="仿宋_GB2312" w:hAnsi="仿宋_GB2312" w:eastAsia="仿宋_GB2312" w:cs="仿宋_GB2312"/>
          <w:b w:val="0"/>
          <w:bCs w:val="0"/>
          <w:sz w:val="30"/>
          <w:szCs w:val="30"/>
          <w:lang w:val="en-US" w:eastAsia="zh-CN"/>
        </w:rPr>
        <w:t>加强管理、深化改革，提高学校核心竞争力</w:t>
      </w:r>
      <w:r>
        <w:rPr>
          <w:rFonts w:hint="eastAsia" w:ascii="仿宋_GB2312" w:hAnsi="仿宋_GB2312" w:eastAsia="仿宋_GB2312" w:cs="仿宋_GB2312"/>
          <w:b w:val="0"/>
          <w:bCs w:val="0"/>
          <w:color w:val="333333"/>
          <w:sz w:val="30"/>
          <w:szCs w:val="30"/>
        </w:rPr>
        <w:t>、</w:t>
      </w:r>
      <w:r>
        <w:rPr>
          <w:rFonts w:hint="eastAsia" w:ascii="仿宋_GB2312" w:hAnsi="仿宋_GB2312" w:eastAsia="仿宋_GB2312" w:cs="仿宋_GB2312"/>
          <w:b w:val="0"/>
          <w:bCs w:val="0"/>
          <w:sz w:val="30"/>
          <w:szCs w:val="30"/>
          <w:lang w:val="en-US" w:eastAsia="zh-CN"/>
        </w:rPr>
        <w:t>突出特色、涵养人文，创建教育特色品牌；</w:t>
      </w:r>
    </w:p>
    <w:p>
      <w:pPr>
        <w:keepNext w:val="0"/>
        <w:keepLines w:val="0"/>
        <w:pageBreakBefore w:val="0"/>
        <w:widowControl w:val="0"/>
        <w:kinsoku/>
        <w:wordWrap/>
        <w:overflowPunct/>
        <w:topLinePunct w:val="0"/>
        <w:autoSpaceDE/>
        <w:autoSpaceDN/>
        <w:bidi w:val="0"/>
        <w:adjustRightInd/>
        <w:snapToGrid/>
        <w:spacing w:line="312" w:lineRule="auto"/>
        <w:ind w:firstLine="600" w:firstLineChars="200"/>
        <w:textAlignment w:val="auto"/>
        <w:outlineLvl w:val="9"/>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val="0"/>
          <w:color w:val="333333"/>
          <w:sz w:val="30"/>
          <w:szCs w:val="30"/>
        </w:rPr>
        <w:t>4、</w:t>
      </w:r>
      <w:r>
        <w:rPr>
          <w:rFonts w:hint="eastAsia" w:ascii="仿宋_GB2312" w:hAnsi="仿宋_GB2312" w:eastAsia="仿宋_GB2312" w:cs="仿宋_GB2312"/>
          <w:b w:val="0"/>
          <w:bCs w:val="0"/>
          <w:sz w:val="30"/>
          <w:szCs w:val="30"/>
          <w:lang w:val="en-US" w:eastAsia="zh-CN"/>
        </w:rPr>
        <w:t>依法治校，保障安全，打造文明平安校园。</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eastAsia="仿宋_GB2312"/>
          <w:kern w:val="0"/>
          <w:sz w:val="30"/>
          <w:szCs w:val="30"/>
        </w:rPr>
        <w:t>我</w:t>
      </w:r>
      <w:r>
        <w:rPr>
          <w:rFonts w:hint="eastAsia" w:eastAsia="仿宋_GB2312"/>
          <w:kern w:val="0"/>
          <w:sz w:val="30"/>
          <w:szCs w:val="30"/>
          <w:lang w:eastAsia="zh-CN"/>
        </w:rPr>
        <w:t>校</w:t>
      </w:r>
      <w:r>
        <w:rPr>
          <w:rFonts w:eastAsia="仿宋_GB2312"/>
          <w:kern w:val="0"/>
          <w:sz w:val="30"/>
          <w:szCs w:val="30"/>
        </w:rPr>
        <w:t>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w:t>
      </w:r>
      <w:r>
        <w:rPr>
          <w:rFonts w:hint="eastAsia" w:eastAsia="仿宋_GB2312"/>
          <w:kern w:val="0"/>
          <w:sz w:val="30"/>
          <w:szCs w:val="30"/>
          <w:lang w:eastAsia="zh-CN"/>
        </w:rPr>
        <w:t>位</w:t>
      </w:r>
      <w:r>
        <w:rPr>
          <w:rFonts w:hint="eastAsia" w:eastAsia="仿宋_GB2312"/>
          <w:kern w:val="0"/>
          <w:sz w:val="30"/>
          <w:szCs w:val="30"/>
          <w:lang w:val="en-US" w:eastAsia="zh-CN"/>
        </w:rPr>
        <w:t>0</w:t>
      </w:r>
      <w:r>
        <w:rPr>
          <w:rFonts w:eastAsia="仿宋_GB2312"/>
          <w:kern w:val="0"/>
          <w:sz w:val="30"/>
          <w:szCs w:val="30"/>
        </w:rPr>
        <w:t>个；事业单位</w:t>
      </w:r>
      <w:r>
        <w:rPr>
          <w:rFonts w:hint="eastAsia" w:eastAsia="仿宋_GB2312"/>
          <w:kern w:val="0"/>
          <w:sz w:val="30"/>
          <w:szCs w:val="30"/>
          <w:lang w:val="en-US" w:eastAsia="zh-CN"/>
        </w:rPr>
        <w:t>1</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w:t>
      </w:r>
      <w:r>
        <w:rPr>
          <w:rFonts w:hint="eastAsia" w:eastAsia="仿宋_GB2312"/>
          <w:kern w:val="0"/>
          <w:sz w:val="30"/>
          <w:szCs w:val="30"/>
          <w:lang w:val="en-US" w:eastAsia="zh-CN"/>
        </w:rPr>
        <w:t>18</w:t>
      </w:r>
      <w:r>
        <w:rPr>
          <w:rFonts w:eastAsia="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244</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244</w:t>
      </w:r>
      <w:r>
        <w:rPr>
          <w:rFonts w:eastAsia="仿宋_GB2312"/>
          <w:kern w:val="0"/>
          <w:sz w:val="30"/>
          <w:szCs w:val="30"/>
        </w:rPr>
        <w:t>人。在职实有</w:t>
      </w:r>
      <w:r>
        <w:rPr>
          <w:rFonts w:hint="eastAsia" w:eastAsia="仿宋_GB2312"/>
          <w:kern w:val="0"/>
          <w:sz w:val="30"/>
          <w:szCs w:val="30"/>
          <w:lang w:val="en-US" w:eastAsia="zh-CN"/>
        </w:rPr>
        <w:t>244</w:t>
      </w:r>
      <w:r>
        <w:rPr>
          <w:rFonts w:eastAsia="仿宋_GB2312"/>
          <w:kern w:val="0"/>
          <w:sz w:val="30"/>
          <w:szCs w:val="30"/>
        </w:rPr>
        <w:t xml:space="preserve">人，其中： 财政全供养 </w:t>
      </w:r>
      <w:r>
        <w:rPr>
          <w:rFonts w:hint="eastAsia" w:eastAsia="仿宋_GB2312"/>
          <w:kern w:val="0"/>
          <w:sz w:val="30"/>
          <w:szCs w:val="30"/>
          <w:lang w:val="en-US" w:eastAsia="zh-CN"/>
        </w:rPr>
        <w:t>244</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81</w:t>
      </w:r>
      <w:r>
        <w:rPr>
          <w:rFonts w:eastAsia="仿宋_GB2312"/>
          <w:kern w:val="0"/>
          <w:sz w:val="30"/>
          <w:szCs w:val="30"/>
        </w:rPr>
        <w:t xml:space="preserve">人，其中： 离休 </w:t>
      </w:r>
      <w:r>
        <w:rPr>
          <w:rFonts w:hint="eastAsia" w:eastAsia="仿宋_GB2312"/>
          <w:kern w:val="0"/>
          <w:sz w:val="30"/>
          <w:szCs w:val="30"/>
          <w:lang w:val="en-US" w:eastAsia="zh-CN"/>
        </w:rPr>
        <w:t>2</w:t>
      </w:r>
      <w:r>
        <w:rPr>
          <w:rFonts w:eastAsia="仿宋_GB2312"/>
          <w:kern w:val="0"/>
          <w:sz w:val="30"/>
          <w:szCs w:val="30"/>
        </w:rPr>
        <w:t xml:space="preserve">人，退休 </w:t>
      </w:r>
      <w:r>
        <w:rPr>
          <w:rFonts w:hint="eastAsia" w:eastAsia="仿宋_GB2312"/>
          <w:kern w:val="0"/>
          <w:sz w:val="30"/>
          <w:szCs w:val="30"/>
          <w:lang w:val="en-US" w:eastAsia="zh-CN"/>
        </w:rPr>
        <w:t>79</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1</w:t>
      </w:r>
      <w:r>
        <w:rPr>
          <w:rFonts w:eastAsia="仿宋_GB2312"/>
          <w:kern w:val="0"/>
          <w:sz w:val="30"/>
          <w:szCs w:val="30"/>
        </w:rPr>
        <w:t>辆，实有车辆</w:t>
      </w:r>
      <w:r>
        <w:rPr>
          <w:rFonts w:hint="eastAsia" w:eastAsia="仿宋_GB2312"/>
          <w:kern w:val="0"/>
          <w:sz w:val="30"/>
          <w:szCs w:val="30"/>
          <w:lang w:val="en-US" w:eastAsia="zh-CN"/>
        </w:rPr>
        <w:t>1</w:t>
      </w:r>
      <w:r>
        <w:rPr>
          <w:rFonts w:eastAsia="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盈江县第一高级中学</w:t>
      </w:r>
      <w:r>
        <w:rPr>
          <w:rFonts w:eastAsia="仿宋_GB2312"/>
          <w:kern w:val="0"/>
          <w:sz w:val="30"/>
          <w:szCs w:val="30"/>
        </w:rPr>
        <w:t>财务总收入</w:t>
      </w:r>
      <w:r>
        <w:rPr>
          <w:rFonts w:hint="eastAsia" w:eastAsia="仿宋_GB2312"/>
          <w:kern w:val="0"/>
          <w:sz w:val="30"/>
          <w:szCs w:val="30"/>
          <w:lang w:val="en-US" w:eastAsia="zh-CN"/>
        </w:rPr>
        <w:t>3054.74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3054.74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3054.74</w:t>
      </w:r>
      <w:r>
        <w:rPr>
          <w:rFonts w:eastAsia="仿宋_GB2312"/>
          <w:kern w:val="0"/>
          <w:sz w:val="30"/>
          <w:szCs w:val="30"/>
        </w:rPr>
        <w:t>万元，其中:本年收入</w:t>
      </w:r>
      <w:r>
        <w:rPr>
          <w:rFonts w:hint="eastAsia" w:eastAsia="仿宋_GB2312"/>
          <w:kern w:val="0"/>
          <w:sz w:val="30"/>
          <w:szCs w:val="30"/>
          <w:lang w:val="en-US" w:eastAsia="zh-CN"/>
        </w:rPr>
        <w:t>3054.74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3054.74</w:t>
      </w:r>
      <w:r>
        <w:rPr>
          <w:rFonts w:eastAsia="仿宋_GB2312"/>
          <w:kern w:val="0"/>
          <w:sz w:val="30"/>
          <w:szCs w:val="30"/>
        </w:rPr>
        <w:t>万元（本级财力</w:t>
      </w:r>
      <w:r>
        <w:rPr>
          <w:rFonts w:hint="eastAsia" w:eastAsia="仿宋_GB2312"/>
          <w:kern w:val="0"/>
          <w:sz w:val="30"/>
          <w:szCs w:val="30"/>
          <w:lang w:val="en-US" w:eastAsia="zh-CN"/>
        </w:rPr>
        <w:t>3054.74</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3054.74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3054.74</w:t>
      </w:r>
      <w:r>
        <w:rPr>
          <w:rFonts w:eastAsia="仿宋_GB2312"/>
          <w:kern w:val="0"/>
          <w:sz w:val="30"/>
          <w:szCs w:val="30"/>
        </w:rPr>
        <w:t>万元，其中，基本支出</w:t>
      </w:r>
      <w:r>
        <w:rPr>
          <w:rFonts w:hint="eastAsia" w:eastAsia="仿宋_GB2312"/>
          <w:kern w:val="0"/>
          <w:sz w:val="30"/>
          <w:szCs w:val="30"/>
          <w:lang w:val="en-US" w:eastAsia="zh-CN"/>
        </w:rPr>
        <w:t>3054.74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3"/>
        <w:keepNext w:val="0"/>
        <w:keepLines w:val="0"/>
        <w:pageBreakBefore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3"/>
        <w:keepNext w:val="0"/>
        <w:keepLines w:val="0"/>
        <w:pageBreakBefore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2050204高中教育2401.17万元，主要用于工资福利支出和日常机构运行运转。</w:t>
      </w:r>
    </w:p>
    <w:p>
      <w:pPr>
        <w:pStyle w:val="13"/>
        <w:keepNext w:val="0"/>
        <w:keepLines w:val="0"/>
        <w:pageBreakBefore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2080502事业单位离退休31.89万元，主要用于离退休人员公用经费支出。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2080505机关事业单位基本养老保险缴费支出370.62万元，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2080506 机关事业单位职业年金缴费支出4.33万元，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color w:val="333333"/>
          <w:sz w:val="30"/>
          <w:szCs w:val="30"/>
          <w:shd w:val="clear" w:color="040000" w:fill="FFFFFF"/>
          <w:lang w:eastAsia="zh-CN"/>
        </w:rPr>
        <w:t>职业年金支出</w:t>
      </w:r>
      <w:r>
        <w:rPr>
          <w:rFonts w:hint="eastAsia" w:ascii="仿宋_GB2312" w:hAnsi="仿宋_GB2312" w:eastAsia="仿宋_GB2312" w:cs="仿宋_GB2312"/>
          <w:color w:val="333333"/>
          <w:sz w:val="30"/>
          <w:szCs w:val="30"/>
          <w:shd w:val="clear" w:color="040000" w:fill="FFFFFF"/>
        </w:rPr>
        <w:t>。</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246.73</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经济科目分组</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2050204高中教育2401.17</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2401.17</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2124.93</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kern w:val="0"/>
          <w:sz w:val="30"/>
          <w:szCs w:val="30"/>
        </w:rPr>
        <w:t>302商品和服务支出</w:t>
      </w:r>
      <w:r>
        <w:rPr>
          <w:rFonts w:hint="eastAsia" w:ascii="仿宋_GB2312" w:hAnsi="仿宋_GB2312" w:eastAsia="仿宋_GB2312" w:cs="仿宋_GB2312"/>
          <w:kern w:val="0"/>
          <w:sz w:val="30"/>
          <w:szCs w:val="30"/>
          <w:lang w:val="en-US" w:eastAsia="zh-CN"/>
        </w:rPr>
        <w:t>275.52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,303对个人和家庭补助0.72万元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2080502事业单位离退休31.89万元其中：基本支出31.89万元主要用于302</w:t>
      </w:r>
      <w:r>
        <w:rPr>
          <w:rFonts w:hint="eastAsia" w:ascii="仿宋_GB2312" w:hAnsi="仿宋_GB2312" w:eastAsia="仿宋_GB2312" w:cs="仿宋_GB2312"/>
          <w:kern w:val="0"/>
          <w:sz w:val="30"/>
          <w:szCs w:val="30"/>
        </w:rPr>
        <w:t>商品和服务支出</w:t>
      </w:r>
      <w:r>
        <w:rPr>
          <w:rFonts w:hint="eastAsia" w:ascii="仿宋_GB2312" w:hAnsi="仿宋_GB2312" w:eastAsia="仿宋_GB2312" w:cs="仿宋_GB2312"/>
          <w:kern w:val="0"/>
          <w:sz w:val="30"/>
          <w:szCs w:val="30"/>
          <w:lang w:val="en-US" w:eastAsia="zh-CN"/>
        </w:rPr>
        <w:t>5.2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,303对个人和家庭补助26.69万元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2080505机关事业基本养老保险缴费支出370.62</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370.62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301</w:t>
      </w:r>
      <w:r>
        <w:rPr>
          <w:rFonts w:hint="eastAsia" w:ascii="仿宋_GB2312" w:hAnsi="仿宋_GB2312" w:eastAsia="仿宋_GB2312" w:cs="仿宋_GB2312"/>
          <w:color w:val="333333"/>
          <w:sz w:val="30"/>
          <w:szCs w:val="30"/>
          <w:shd w:val="clear" w:color="040000" w:fill="FFFFFF"/>
        </w:rPr>
        <w:t>工资福利</w:t>
      </w:r>
      <w:r>
        <w:rPr>
          <w:rFonts w:hint="eastAsia" w:ascii="仿宋_GB2312" w:hAnsi="仿宋_GB2312" w:eastAsia="仿宋_GB2312" w:cs="仿宋_GB2312"/>
          <w:kern w:val="0"/>
          <w:sz w:val="30"/>
          <w:szCs w:val="30"/>
        </w:rPr>
        <w:t>中的</w:t>
      </w:r>
      <w:r>
        <w:rPr>
          <w:rFonts w:hint="eastAsia" w:ascii="仿宋_GB2312" w:eastAsia="仿宋_GB2312"/>
          <w:kern w:val="0"/>
          <w:sz w:val="30"/>
          <w:szCs w:val="30"/>
        </w:rPr>
        <w:t>单位基本养老保险缴费</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370.62万元；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2080506机关事业单位职业年金缴费支出4.33万元其中：基本支出4.33万元，主要用于301工资福利中的单位职业年金缴费4.33万元；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2210201住房公积金支出246.73万元其中：基本支出246.73万元，</w:t>
      </w:r>
      <w:r>
        <w:rPr>
          <w:rFonts w:hint="eastAsia" w:ascii="仿宋_GB2312" w:hAnsi="仿宋_GB2312" w:eastAsia="仿宋_GB2312" w:cs="仿宋_GB2312"/>
          <w:kern w:val="0"/>
          <w:sz w:val="30"/>
          <w:szCs w:val="30"/>
        </w:rPr>
        <w:t>主要用于301工资福利支出中的住房公积金</w:t>
      </w:r>
      <w:r>
        <w:rPr>
          <w:rFonts w:hint="eastAsia" w:ascii="仿宋_GB2312" w:hAnsi="仿宋_GB2312" w:eastAsia="仿宋_GB2312" w:cs="仿宋_GB2312"/>
          <w:kern w:val="0"/>
          <w:sz w:val="30"/>
          <w:szCs w:val="30"/>
          <w:lang w:val="en-US" w:eastAsia="zh-CN"/>
        </w:rPr>
        <w:t>246.73</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州</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ascii="黑体" w:hAnsi="黑体" w:eastAsia="黑体"/>
          <w:kern w:val="0"/>
          <w:sz w:val="30"/>
          <w:szCs w:val="30"/>
        </w:rPr>
        <w:t>本单位2019年无省对下专项转移支付</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left"/>
        <w:textAlignment w:val="auto"/>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right="0" w:firstLine="600" w:firstLineChars="200"/>
        <w:textAlignment w:val="auto"/>
        <w:rPr>
          <w:rFonts w:hint="eastAsia" w:ascii="仿宋_GB2312" w:eastAsia="仿宋_GB2312"/>
          <w:kern w:val="0"/>
          <w:sz w:val="30"/>
          <w:szCs w:val="30"/>
          <w:lang w:val="en-US" w:eastAsia="zh-CN"/>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第一高级中学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0.6</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0.6</w:t>
      </w:r>
      <w:r>
        <w:rPr>
          <w:rFonts w:hint="eastAsia" w:ascii="仿宋_GB2312" w:eastAsia="仿宋_GB2312"/>
          <w:kern w:val="0"/>
          <w:sz w:val="30"/>
          <w:szCs w:val="30"/>
        </w:rPr>
        <w:t>万元相比持平。</w:t>
      </w:r>
      <w:r>
        <w:rPr>
          <w:rFonts w:hint="eastAsia" w:ascii="仿宋_GB2312" w:eastAsia="仿宋_GB2312"/>
          <w:kern w:val="0"/>
          <w:sz w:val="30"/>
          <w:szCs w:val="30"/>
          <w:lang w:val="en-US" w:eastAsia="zh-CN"/>
        </w:rPr>
        <w:t xml:space="preserve">      </w:t>
      </w:r>
    </w:p>
    <w:p>
      <w:pPr>
        <w:pStyle w:val="13"/>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楷体" w:hAnsi="楷体" w:eastAsia="楷体" w:cs="楷体"/>
          <w:kern w:val="0"/>
          <w:sz w:val="30"/>
          <w:szCs w:val="30"/>
        </w:rPr>
        <w:t>（二）</w:t>
      </w:r>
      <w:r>
        <w:rPr>
          <w:rFonts w:hint="eastAsia" w:ascii="楷体_GB2312" w:eastAsia="楷体_GB2312"/>
          <w:kern w:val="0"/>
          <w:sz w:val="30"/>
          <w:szCs w:val="30"/>
        </w:rPr>
        <w:t>部门基本支出预算变动的主要原因，对本年与上年同口径数据比对情况分析</w:t>
      </w:r>
    </w:p>
    <w:p>
      <w:pPr>
        <w:pStyle w:val="13"/>
        <w:keepNext w:val="0"/>
        <w:keepLines w:val="0"/>
        <w:pageBreakBefore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kern w:val="0"/>
          <w:sz w:val="30"/>
          <w:szCs w:val="30"/>
          <w:lang w:val="en-US" w:eastAsia="zh-CN"/>
        </w:rPr>
        <w:t>2019年部门预算收入3054.74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sz w:val="30"/>
          <w:szCs w:val="30"/>
          <w:lang w:eastAsia="zh-CN"/>
        </w:rPr>
        <w:t>比</w:t>
      </w:r>
      <w:r>
        <w:rPr>
          <w:rFonts w:hint="eastAsia" w:ascii="仿宋_GB2312" w:hAnsi="仿宋_GB2312" w:eastAsia="仿宋_GB2312" w:cs="仿宋_GB2312"/>
          <w:sz w:val="30"/>
          <w:szCs w:val="30"/>
        </w:rPr>
        <w:t>上年</w:t>
      </w:r>
      <w:r>
        <w:rPr>
          <w:rFonts w:hint="eastAsia" w:ascii="仿宋_GB2312" w:hAnsi="仿宋_GB2312" w:eastAsia="仿宋_GB2312" w:cs="仿宋_GB2312"/>
          <w:sz w:val="30"/>
          <w:szCs w:val="30"/>
          <w:lang w:eastAsia="zh-CN"/>
        </w:rPr>
        <w:t>预算数</w:t>
      </w:r>
      <w:r>
        <w:rPr>
          <w:rFonts w:hint="eastAsia" w:ascii="仿宋_GB2312" w:hAnsi="仿宋_GB2312" w:eastAsia="仿宋_GB2312" w:cs="仿宋_GB2312"/>
          <w:kern w:val="0"/>
          <w:sz w:val="28"/>
          <w:szCs w:val="28"/>
          <w:lang w:val="en-US" w:eastAsia="zh-CN"/>
        </w:rPr>
        <w:t>2873.36</w:t>
      </w:r>
      <w:r>
        <w:rPr>
          <w:rFonts w:hint="eastAsia" w:ascii="仿宋_GB2312" w:hAnsi="仿宋_GB2312" w:eastAsia="仿宋_GB2312" w:cs="仿宋_GB2312"/>
          <w:sz w:val="30"/>
          <w:szCs w:val="30"/>
          <w:lang w:val="en-US" w:eastAsia="zh-CN"/>
        </w:rPr>
        <w:t>万元</w:t>
      </w:r>
      <w:r>
        <w:rPr>
          <w:rFonts w:hint="eastAsia" w:ascii="仿宋_GB2312" w:hAnsi="仿宋_GB2312" w:eastAsia="仿宋_GB2312" w:cs="仿宋_GB2312"/>
          <w:sz w:val="30"/>
          <w:szCs w:val="30"/>
        </w:rPr>
        <w:t>对比</w:t>
      </w:r>
      <w:r>
        <w:rPr>
          <w:rFonts w:hint="eastAsia" w:ascii="仿宋_GB2312" w:hAnsi="仿宋_GB2312" w:eastAsia="仿宋_GB2312" w:cs="仿宋_GB2312"/>
          <w:sz w:val="30"/>
          <w:szCs w:val="30"/>
          <w:lang w:eastAsia="zh-CN"/>
        </w:rPr>
        <w:t>，增加</w:t>
      </w:r>
      <w:r>
        <w:rPr>
          <w:rFonts w:hint="eastAsia" w:ascii="仿宋_GB2312" w:hAnsi="仿宋_GB2312" w:eastAsia="仿宋_GB2312" w:cs="仿宋_GB2312"/>
          <w:sz w:val="30"/>
          <w:szCs w:val="30"/>
          <w:lang w:val="en-US" w:eastAsia="zh-CN"/>
        </w:rPr>
        <w:t>181.38万元，</w:t>
      </w:r>
      <w:r>
        <w:rPr>
          <w:rFonts w:hint="eastAsia" w:ascii="仿宋_GB2312" w:hAnsi="仿宋_GB2312" w:eastAsia="仿宋_GB2312" w:cs="仿宋_GB2312"/>
          <w:sz w:val="30"/>
          <w:szCs w:val="30"/>
          <w:lang w:eastAsia="zh-CN"/>
        </w:rPr>
        <w:t>增幅为</w:t>
      </w:r>
      <w:r>
        <w:rPr>
          <w:rFonts w:hint="eastAsia" w:ascii="仿宋_GB2312" w:hAnsi="仿宋_GB2312" w:eastAsia="仿宋_GB2312" w:cs="仿宋_GB2312"/>
          <w:sz w:val="30"/>
          <w:szCs w:val="30"/>
          <w:lang w:val="en-US" w:eastAsia="zh-CN"/>
        </w:rPr>
        <w:t>6.31</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增加</w:t>
      </w:r>
      <w:r>
        <w:rPr>
          <w:rFonts w:hint="eastAsia" w:ascii="仿宋_GB2312" w:hAnsi="仿宋_GB2312" w:eastAsia="仿宋_GB2312" w:cs="仿宋_GB2312"/>
          <w:sz w:val="30"/>
          <w:szCs w:val="30"/>
        </w:rPr>
        <w:t>的原因主要是：</w:t>
      </w:r>
      <w:r>
        <w:rPr>
          <w:rFonts w:hint="eastAsia" w:ascii="仿宋_GB2312" w:hAnsi="仿宋_GB2312" w:eastAsia="仿宋_GB2312" w:cs="仿宋_GB2312"/>
          <w:kern w:val="0"/>
          <w:sz w:val="30"/>
          <w:szCs w:val="30"/>
          <w:lang w:val="en-US" w:eastAsia="zh-CN"/>
        </w:rPr>
        <w:t>政府性调资增资</w:t>
      </w:r>
      <w:r>
        <w:rPr>
          <w:rFonts w:hint="eastAsia" w:ascii="仿宋_GB2312" w:hAnsi="仿宋_GB2312" w:eastAsia="仿宋_GB2312" w:cs="仿宋_GB2312"/>
          <w:color w:val="auto"/>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仿宋_GB2312" w:hAnsi="仿宋_GB2312" w:eastAsia="仿宋_GB2312" w:cs="仿宋_GB2312"/>
          <w:color w:val="auto"/>
          <w:sz w:val="30"/>
          <w:szCs w:val="30"/>
          <w:lang w:eastAsia="zh-CN"/>
        </w:rPr>
        <w:t>（三）</w:t>
      </w:r>
      <w:r>
        <w:rPr>
          <w:rFonts w:hint="eastAsia" w:ascii="楷体_GB2312" w:eastAsia="楷体_GB2312"/>
          <w:kern w:val="0"/>
          <w:sz w:val="30"/>
          <w:szCs w:val="30"/>
        </w:rPr>
        <w:t>部门项目支出预算变动的主要原因，对本年与上年同口径数据比对情况分析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rPr>
      </w:pPr>
      <w:r>
        <w:rPr>
          <w:rFonts w:hint="eastAsia" w:ascii="仿宋_GB2312" w:eastAsia="仿宋_GB2312"/>
          <w:kern w:val="0"/>
          <w:sz w:val="30"/>
          <w:szCs w:val="30"/>
        </w:rPr>
        <w:t>2019 年</w:t>
      </w:r>
      <w:r>
        <w:rPr>
          <w:rFonts w:hint="eastAsia" w:ascii="仿宋_GB2312" w:hAnsi="仿宋_GB2312" w:eastAsia="仿宋_GB2312" w:cs="仿宋_GB2312"/>
          <w:sz w:val="30"/>
          <w:szCs w:val="30"/>
        </w:rPr>
        <w:t>盈江</w:t>
      </w:r>
      <w:r>
        <w:rPr>
          <w:rFonts w:hint="eastAsia" w:ascii="仿宋_GB2312" w:hAnsi="仿宋_GB2312" w:eastAsia="仿宋_GB2312" w:cs="仿宋_GB2312"/>
          <w:sz w:val="30"/>
          <w:szCs w:val="30"/>
          <w:lang w:eastAsia="zh-CN"/>
        </w:rPr>
        <w:t>第一高级中学</w:t>
      </w:r>
      <w:r>
        <w:rPr>
          <w:rFonts w:hint="eastAsia" w:ascii="仿宋_GB2312" w:hAnsi="仿宋_GB2312" w:eastAsia="仿宋_GB2312" w:cs="仿宋_GB2312"/>
          <w:sz w:val="30"/>
          <w:szCs w:val="30"/>
        </w:rPr>
        <w:t>项目</w:t>
      </w:r>
      <w:r>
        <w:rPr>
          <w:rFonts w:hint="eastAsia" w:ascii="仿宋_GB2312" w:hAnsi="仿宋_GB2312" w:eastAsia="仿宋_GB2312" w:cs="仿宋_GB2312"/>
          <w:sz w:val="30"/>
          <w:szCs w:val="30"/>
          <w:lang w:eastAsia="zh-CN"/>
        </w:rPr>
        <w:t>无</w:t>
      </w:r>
      <w:r>
        <w:rPr>
          <w:rFonts w:hint="eastAsia" w:ascii="仿宋_GB2312" w:hAnsi="仿宋_GB2312" w:eastAsia="仿宋_GB2312" w:cs="仿宋_GB2312"/>
          <w:sz w:val="30"/>
          <w:szCs w:val="30"/>
        </w:rPr>
        <w:t>支出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财政拨款收入：本级财政部门当年拨付的财政预算资金，包括公共预算财政拨款和政府性基金预算财政拨款。</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基本支出：是预算单位为保障其正常运转，完成日常工作任务所发生的支出，包括人员支出和日常公用支出。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项目支出：是预算单位为完成其特定的行政工作任务或事业发展目标所发生的支出。</w:t>
      </w:r>
      <w:r>
        <w:rPr>
          <w:rFonts w:hint="eastAsia" w:ascii="仿宋_GB2312" w:hAnsi="仿宋_GB2312" w:eastAsia="仿宋_GB2312" w:cs="仿宋_GB2312"/>
          <w:color w:val="333333"/>
          <w:kern w:val="0"/>
          <w:sz w:val="30"/>
          <w:szCs w:val="30"/>
          <w:lang w:bidi="ar"/>
        </w:rPr>
        <w:t xml:space="preserve">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7</w:t>
      </w:r>
      <w:r>
        <w:rPr>
          <w:rFonts w:hint="eastAsia" w:ascii="仿宋_GB2312" w:hAnsi="仿宋_GB2312" w:eastAsia="仿宋_GB2312" w:cs="仿宋_GB2312"/>
          <w:color w:val="333333"/>
          <w:kern w:val="0"/>
          <w:sz w:val="30"/>
          <w:szCs w:val="30"/>
          <w:lang w:bidi="ar"/>
        </w:rPr>
        <w:t xml:space="preserve">.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8</w:t>
      </w:r>
      <w:r>
        <w:rPr>
          <w:rFonts w:hint="eastAsia" w:ascii="仿宋_GB2312" w:hAnsi="仿宋_GB2312" w:eastAsia="仿宋_GB2312" w:cs="仿宋_GB2312"/>
          <w:color w:val="333333"/>
          <w:kern w:val="0"/>
          <w:sz w:val="30"/>
          <w:szCs w:val="30"/>
          <w:lang w:bidi="ar"/>
        </w:rPr>
        <w:t>.“三公”经费包括因公出国（境）费、公务用车购置及运行费、公务接待费。其中：因公出国（境）费，指单位工作人员公务出国（境）的住宿费、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9</w:t>
      </w:r>
      <w:r>
        <w:rPr>
          <w:rFonts w:hint="eastAsia" w:ascii="仿宋_GB2312" w:hAnsi="仿宋_GB2312" w:eastAsia="仿宋_GB2312" w:cs="仿宋_GB2312"/>
          <w:color w:val="333333"/>
          <w:kern w:val="0"/>
          <w:sz w:val="30"/>
          <w:szCs w:val="30"/>
          <w:lang w:bidi="ar"/>
        </w:rPr>
        <w:t xml:space="preserve">.一般公共预算是对以税收为主体的财政收入，安排用于保障和改善民生、推动经济社会发展、维护国家安全、维护国家机构正常运转等方面的收支预算。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10</w:t>
      </w:r>
      <w:r>
        <w:rPr>
          <w:rFonts w:hint="eastAsia" w:ascii="仿宋_GB2312" w:hAnsi="仿宋_GB2312" w:eastAsia="仿宋_GB2312" w:cs="仿宋_GB2312"/>
          <w:color w:val="333333"/>
          <w:kern w:val="0"/>
          <w:sz w:val="30"/>
          <w:szCs w:val="30"/>
          <w:lang w:bidi="ar"/>
        </w:rPr>
        <w:t xml:space="preserve">.非税收入是各级政府及其所属部门和单位依法利用行政权力、政府信誉、国家资源、国有资产或提供特定公共服务征收、收取、提取、募集的除税收和政府债务收入以外的财政收入。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color w:val="333333"/>
          <w:kern w:val="0"/>
          <w:sz w:val="30"/>
          <w:szCs w:val="30"/>
          <w:lang w:bidi="ar"/>
        </w:rPr>
      </w:pPr>
      <w:r>
        <w:rPr>
          <w:rFonts w:hint="eastAsia" w:ascii="仿宋_GB2312" w:hAnsi="仿宋_GB2312" w:eastAsia="仿宋_GB2312" w:cs="仿宋_GB2312"/>
          <w:color w:val="333333"/>
          <w:kern w:val="0"/>
          <w:sz w:val="30"/>
          <w:szCs w:val="30"/>
          <w:lang w:val="en-US" w:eastAsia="zh-CN" w:bidi="ar"/>
        </w:rPr>
        <w:t>11</w:t>
      </w:r>
      <w:r>
        <w:rPr>
          <w:rFonts w:hint="eastAsia" w:ascii="仿宋_GB2312" w:hAnsi="仿宋_GB2312" w:eastAsia="仿宋_GB2312" w:cs="仿宋_GB2312"/>
          <w:color w:val="333333"/>
          <w:kern w:val="0"/>
          <w:sz w:val="30"/>
          <w:szCs w:val="30"/>
          <w:lang w:bidi="ar"/>
        </w:rPr>
        <w:t xml:space="preserve">.工资福利支出反映单位开支的在职职工和编制外长期聘用人员的各类劳动报酬，以及为上述人员缴纳的各项社会保险费等。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12</w:t>
      </w:r>
      <w:r>
        <w:rPr>
          <w:rFonts w:hint="eastAsia" w:ascii="仿宋_GB2312" w:hAnsi="仿宋_GB2312" w:eastAsia="仿宋_GB2312" w:cs="仿宋_GB2312"/>
          <w:color w:val="333333"/>
          <w:kern w:val="0"/>
          <w:sz w:val="30"/>
          <w:szCs w:val="30"/>
          <w:lang w:bidi="ar"/>
        </w:rPr>
        <w:t xml:space="preserve">.商品和服务支出反映单位购买商品和服务的支出（不包括用于购置固定资产的支出、战略性和应急储备支出）。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13</w:t>
      </w:r>
      <w:r>
        <w:rPr>
          <w:rFonts w:hint="eastAsia" w:ascii="仿宋_GB2312" w:hAnsi="仿宋_GB2312" w:eastAsia="仿宋_GB2312" w:cs="仿宋_GB2312"/>
          <w:color w:val="333333"/>
          <w:kern w:val="0"/>
          <w:sz w:val="30"/>
          <w:szCs w:val="30"/>
          <w:lang w:bidi="ar"/>
        </w:rPr>
        <w:t xml:space="preserve">.对个人和家庭的补助反映政府用于对个人和家庭的补助支出。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val="en-US" w:eastAsia="zh-CN" w:bidi="ar"/>
        </w:rPr>
        <w:t>14</w:t>
      </w:r>
      <w:r>
        <w:rPr>
          <w:rFonts w:hint="eastAsia" w:ascii="仿宋_GB2312" w:hAnsi="仿宋_GB2312" w:eastAsia="仿宋_GB2312" w:cs="仿宋_GB2312"/>
          <w:color w:val="333333"/>
          <w:kern w:val="0"/>
          <w:sz w:val="30"/>
          <w:szCs w:val="30"/>
          <w:lang w:bidi="ar"/>
        </w:rPr>
        <w:t>.政府采购是指各级国家机关、事业单位和团体组织，使用财政性资金采购依法制定的集中采购目录以内的或者采购限额标准以上的货物、工程和服务的行为。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kern w:val="0"/>
          <w:sz w:val="30"/>
          <w:szCs w:val="30"/>
        </w:rPr>
      </w:pP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ascii="楷体_GB2312" w:eastAsia="楷体_GB2312"/>
          <w:kern w:val="0"/>
          <w:sz w:val="30"/>
          <w:szCs w:val="30"/>
        </w:rPr>
        <w:t>（二）机关运行经费安排</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rPr>
          <w:rFonts w:ascii="楷体_GB2312" w:eastAsia="楷体_GB2312"/>
          <w:color w:val="auto"/>
          <w:kern w:val="0"/>
          <w:sz w:val="30"/>
          <w:szCs w:val="30"/>
        </w:rPr>
      </w:pPr>
      <w:r>
        <w:rPr>
          <w:rFonts w:ascii="楷体_GB2312" w:eastAsia="楷体_GB2312"/>
          <w:color w:val="auto"/>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eastAsia="仿宋_GB2312"/>
          <w:kern w:val="0"/>
          <w:sz w:val="30"/>
          <w:szCs w:val="30"/>
        </w:rPr>
      </w:pPr>
      <w:r>
        <w:rPr>
          <w:rFonts w:hint="eastAsia" w:eastAsia="仿宋_GB2312"/>
          <w:kern w:val="0"/>
          <w:sz w:val="30"/>
          <w:szCs w:val="30"/>
        </w:rPr>
        <w:t>鉴于截至2019年12月31日的国有资产占有使用情况需在完成2019年决算编制后才能统计汇总相关数据，因此，将在公开</w:t>
      </w:r>
      <w:r>
        <w:rPr>
          <w:rFonts w:hint="eastAsia" w:eastAsia="仿宋_GB2312"/>
          <w:kern w:val="0"/>
          <w:sz w:val="30"/>
          <w:szCs w:val="30"/>
          <w:lang w:val="en-US" w:eastAsia="zh-CN"/>
        </w:rPr>
        <w:t>2019</w:t>
      </w:r>
      <w:r>
        <w:rPr>
          <w:rFonts w:hint="eastAsia" w:eastAsia="仿宋_GB2312"/>
          <w:kern w:val="0"/>
          <w:sz w:val="30"/>
          <w:szCs w:val="30"/>
        </w:rPr>
        <w:t>年度部门决算时一并公开部门截至2019年12月31</w:t>
      </w:r>
      <w:r>
        <w:rPr>
          <w:rFonts w:hint="eastAsia" w:ascii="仿宋_GB2312" w:hAnsi="仿宋_GB2312" w:eastAsia="仿宋_GB2312" w:cs="仿宋_GB2312"/>
          <w:kern w:val="0"/>
          <w:sz w:val="30"/>
          <w:szCs w:val="30"/>
          <w:lang w:eastAsia="zh-CN"/>
        </w:rPr>
        <w:t>日</w:t>
      </w:r>
      <w:r>
        <w:rPr>
          <w:rFonts w:hint="eastAsia" w:ascii="仿宋_GB2312" w:hAnsi="仿宋_GB2312" w:eastAsia="仿宋_GB2312" w:cs="仿宋_GB2312"/>
          <w:kern w:val="0"/>
          <w:sz w:val="30"/>
          <w:szCs w:val="30"/>
        </w:rPr>
        <w:t>的</w:t>
      </w:r>
      <w:r>
        <w:rPr>
          <w:rFonts w:hint="eastAsia" w:eastAsia="仿宋_GB2312"/>
          <w:kern w:val="0"/>
          <w:sz w:val="30"/>
          <w:szCs w:val="30"/>
        </w:rPr>
        <w:t>国有资产占有使用情况。</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楷体_GB2312" w:eastAsia="楷体_GB2312"/>
          <w:kern w:val="0"/>
          <w:sz w:val="30"/>
          <w:szCs w:val="30"/>
          <w:lang w:eastAsia="zh-CN"/>
        </w:rPr>
        <w:t>（四）</w:t>
      </w: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rPr>
          <w:rFonts w:ascii="楷体_GB2312" w:eastAsia="楷体_GB2312"/>
          <w:kern w:val="0"/>
          <w:sz w:val="30"/>
          <w:szCs w:val="30"/>
        </w:rPr>
      </w:pPr>
      <w:r>
        <w:rPr>
          <w:rFonts w:hint="eastAsia" w:ascii="仿宋_GB2312" w:eastAsia="仿宋_GB2312"/>
          <w:kern w:val="0"/>
          <w:sz w:val="30"/>
          <w:szCs w:val="30"/>
        </w:rPr>
        <w:t>2019年单位</w:t>
      </w:r>
      <w:r>
        <w:rPr>
          <w:rFonts w:hint="eastAsia" w:ascii="仿宋_GB2312" w:eastAsia="仿宋_GB2312"/>
          <w:kern w:val="0"/>
          <w:sz w:val="30"/>
          <w:szCs w:val="30"/>
          <w:lang w:eastAsia="zh-CN"/>
        </w:rPr>
        <w:t>支出</w:t>
      </w:r>
      <w:r>
        <w:rPr>
          <w:rFonts w:hint="eastAsia" w:ascii="仿宋_GB2312" w:eastAsia="仿宋_GB2312"/>
          <w:kern w:val="0"/>
          <w:sz w:val="30"/>
          <w:szCs w:val="30"/>
        </w:rPr>
        <w:t>预算</w:t>
      </w:r>
      <w:r>
        <w:rPr>
          <w:rFonts w:hint="eastAsia" w:ascii="仿宋_GB2312" w:eastAsia="仿宋_GB2312"/>
          <w:kern w:val="0"/>
          <w:sz w:val="30"/>
          <w:szCs w:val="30"/>
          <w:lang w:eastAsia="zh-CN"/>
        </w:rPr>
        <w:t>为</w:t>
      </w:r>
      <w:r>
        <w:rPr>
          <w:rFonts w:hint="eastAsia" w:ascii="仿宋_GB2312" w:eastAsia="仿宋_GB2312"/>
          <w:kern w:val="0"/>
          <w:sz w:val="30"/>
          <w:szCs w:val="30"/>
          <w:lang w:val="en-US" w:eastAsia="zh-CN"/>
        </w:rPr>
        <w:t>3054.74</w:t>
      </w:r>
      <w:r>
        <w:rPr>
          <w:rFonts w:hint="eastAsia" w:ascii="仿宋_GB2312" w:eastAsia="仿宋_GB2312"/>
          <w:kern w:val="0"/>
          <w:sz w:val="30"/>
          <w:szCs w:val="30"/>
        </w:rPr>
        <w:t>万元，其中：基本支出</w:t>
      </w:r>
      <w:r>
        <w:rPr>
          <w:rFonts w:hint="eastAsia" w:ascii="仿宋_GB2312" w:eastAsia="仿宋_GB2312"/>
          <w:kern w:val="0"/>
          <w:sz w:val="30"/>
          <w:szCs w:val="30"/>
          <w:lang w:val="en-US" w:eastAsia="zh-CN"/>
        </w:rPr>
        <w:t>3054.74</w:t>
      </w:r>
      <w:r>
        <w:rPr>
          <w:rFonts w:hint="eastAsia" w:ascii="仿宋_GB2312" w:eastAsia="仿宋_GB2312"/>
          <w:kern w:val="0"/>
          <w:sz w:val="30"/>
          <w:szCs w:val="30"/>
        </w:rPr>
        <w:t>万元，主要用于发放职工工资，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8759AC"/>
    <w:rsid w:val="02DF531C"/>
    <w:rsid w:val="03CD50E7"/>
    <w:rsid w:val="03F0214E"/>
    <w:rsid w:val="04CF1775"/>
    <w:rsid w:val="05616F12"/>
    <w:rsid w:val="06315819"/>
    <w:rsid w:val="06325B44"/>
    <w:rsid w:val="06E109A2"/>
    <w:rsid w:val="080D4B04"/>
    <w:rsid w:val="084A3CB5"/>
    <w:rsid w:val="0A9149AD"/>
    <w:rsid w:val="0AB77A2F"/>
    <w:rsid w:val="0AC9280F"/>
    <w:rsid w:val="0C6818D8"/>
    <w:rsid w:val="0DE96FF2"/>
    <w:rsid w:val="0E56190F"/>
    <w:rsid w:val="127379BE"/>
    <w:rsid w:val="13D66428"/>
    <w:rsid w:val="13F52A67"/>
    <w:rsid w:val="14594CAF"/>
    <w:rsid w:val="14E16A8F"/>
    <w:rsid w:val="15DE2DB5"/>
    <w:rsid w:val="166B22C4"/>
    <w:rsid w:val="19C46870"/>
    <w:rsid w:val="1A0B3DDD"/>
    <w:rsid w:val="1A685806"/>
    <w:rsid w:val="1A8561A9"/>
    <w:rsid w:val="1B2334E3"/>
    <w:rsid w:val="1D525100"/>
    <w:rsid w:val="1DF70A53"/>
    <w:rsid w:val="1F492DC4"/>
    <w:rsid w:val="21035A24"/>
    <w:rsid w:val="218F6805"/>
    <w:rsid w:val="23293A4E"/>
    <w:rsid w:val="23C6578F"/>
    <w:rsid w:val="242E2599"/>
    <w:rsid w:val="249A04E8"/>
    <w:rsid w:val="252804D7"/>
    <w:rsid w:val="25F66133"/>
    <w:rsid w:val="26BF2FF3"/>
    <w:rsid w:val="276C0BED"/>
    <w:rsid w:val="27E3128E"/>
    <w:rsid w:val="286D1700"/>
    <w:rsid w:val="28D26D48"/>
    <w:rsid w:val="29F4749C"/>
    <w:rsid w:val="2CEA2CF7"/>
    <w:rsid w:val="2D224860"/>
    <w:rsid w:val="2D7B7E3A"/>
    <w:rsid w:val="2DA75286"/>
    <w:rsid w:val="2E0720DA"/>
    <w:rsid w:val="2F2B3FBF"/>
    <w:rsid w:val="2FD25EA1"/>
    <w:rsid w:val="306F1042"/>
    <w:rsid w:val="33A05FAD"/>
    <w:rsid w:val="33E37726"/>
    <w:rsid w:val="35AA199E"/>
    <w:rsid w:val="361736B1"/>
    <w:rsid w:val="369B6FF2"/>
    <w:rsid w:val="39466C4F"/>
    <w:rsid w:val="39BF048F"/>
    <w:rsid w:val="3EF621A6"/>
    <w:rsid w:val="3F4B210D"/>
    <w:rsid w:val="43131F13"/>
    <w:rsid w:val="432A6DC6"/>
    <w:rsid w:val="435B731E"/>
    <w:rsid w:val="43C35C3E"/>
    <w:rsid w:val="46412C64"/>
    <w:rsid w:val="46D61E29"/>
    <w:rsid w:val="47113842"/>
    <w:rsid w:val="47EC02A8"/>
    <w:rsid w:val="49441314"/>
    <w:rsid w:val="4C4C5EEC"/>
    <w:rsid w:val="4E623372"/>
    <w:rsid w:val="4EAA07DD"/>
    <w:rsid w:val="4F5903DD"/>
    <w:rsid w:val="5496026F"/>
    <w:rsid w:val="564C72BA"/>
    <w:rsid w:val="5825432A"/>
    <w:rsid w:val="58310B0B"/>
    <w:rsid w:val="584D699A"/>
    <w:rsid w:val="587B65D0"/>
    <w:rsid w:val="5AB4032D"/>
    <w:rsid w:val="5CA2590E"/>
    <w:rsid w:val="5DF9313F"/>
    <w:rsid w:val="5E7D384C"/>
    <w:rsid w:val="60F86DF1"/>
    <w:rsid w:val="629151AB"/>
    <w:rsid w:val="65756AF5"/>
    <w:rsid w:val="66E5534D"/>
    <w:rsid w:val="671E70D8"/>
    <w:rsid w:val="67D95CA6"/>
    <w:rsid w:val="693C1093"/>
    <w:rsid w:val="6A8C3BB7"/>
    <w:rsid w:val="6CAC668F"/>
    <w:rsid w:val="6D482CA7"/>
    <w:rsid w:val="6DA166D2"/>
    <w:rsid w:val="6FB03E58"/>
    <w:rsid w:val="72100839"/>
    <w:rsid w:val="724A4A01"/>
    <w:rsid w:val="72F37DB5"/>
    <w:rsid w:val="73CE765B"/>
    <w:rsid w:val="75F37398"/>
    <w:rsid w:val="76362292"/>
    <w:rsid w:val="7745314A"/>
    <w:rsid w:val="77553F15"/>
    <w:rsid w:val="779E5D9A"/>
    <w:rsid w:val="77C47B6A"/>
    <w:rsid w:val="78401BFB"/>
    <w:rsid w:val="79910928"/>
    <w:rsid w:val="7AD23179"/>
    <w:rsid w:val="7B1E5394"/>
    <w:rsid w:val="7C124A98"/>
    <w:rsid w:val="7CC11AE7"/>
    <w:rsid w:val="7F54460F"/>
    <w:rsid w:val="7FB643E9"/>
    <w:rsid w:val="7FCA6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
    <w:name w:val="Normal (Web)"/>
    <w:basedOn w:val="1"/>
    <w:qFormat/>
    <w:uiPriority w:val="0"/>
    <w:pPr>
      <w:jc w:val="left"/>
    </w:pPr>
    <w:rPr>
      <w:kern w:val="0"/>
      <w:sz w:val="24"/>
    </w:rPr>
  </w:style>
  <w:style w:type="paragraph" w:customStyle="1" w:styleId="13">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5</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2019-04-29T08:49:13Z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